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EA0" w:rsidRDefault="004E6EA0">
      <w:pPr>
        <w:rPr>
          <w:rFonts w:ascii="Lato" w:eastAsia="Lato" w:hAnsi="Lato" w:cs="Lato"/>
        </w:rPr>
      </w:pPr>
    </w:p>
    <w:p w:rsidR="004E6EA0" w:rsidRDefault="004E6EA0">
      <w:pPr>
        <w:rPr>
          <w:rFonts w:ascii="Lato" w:eastAsia="Lato" w:hAnsi="Lato" w:cs="Lato"/>
        </w:rPr>
      </w:pPr>
    </w:p>
    <w:p w:rsidR="004E6EA0" w:rsidRDefault="004E6EA0">
      <w:pPr>
        <w:rPr>
          <w:rFonts w:ascii="Lato" w:eastAsia="Lato" w:hAnsi="Lato" w:cs="Lato"/>
        </w:rPr>
      </w:pPr>
    </w:p>
    <w:p w:rsidR="004E6EA0" w:rsidRDefault="004E6EA0">
      <w:pPr>
        <w:tabs>
          <w:tab w:val="left" w:pos="1116"/>
        </w:tabs>
        <w:rPr>
          <w:rFonts w:ascii="Lato" w:eastAsia="Lato" w:hAnsi="Lato" w:cs="Lato"/>
          <w:sz w:val="26"/>
        </w:rPr>
      </w:pPr>
    </w:p>
    <w:p w:rsidR="004E6EA0" w:rsidRDefault="00D16940">
      <w:pPr>
        <w:tabs>
          <w:tab w:val="left" w:pos="1116"/>
        </w:tabs>
        <w:jc w:val="center"/>
        <w:rPr>
          <w:rFonts w:ascii="Lato" w:hAnsi="Lato"/>
          <w:sz w:val="28"/>
          <w:u w:val="single"/>
        </w:rPr>
      </w:pPr>
      <w:r>
        <w:rPr>
          <w:rFonts w:ascii="Lato" w:hAnsi="Lato"/>
          <w:sz w:val="28"/>
          <w:u w:val="single"/>
        </w:rPr>
        <w:t>Topic Lists for Revision</w:t>
      </w:r>
    </w:p>
    <w:p w:rsidR="004E6EA0" w:rsidRDefault="004E6EA0">
      <w:pPr>
        <w:tabs>
          <w:tab w:val="left" w:pos="1116"/>
        </w:tabs>
        <w:rPr>
          <w:rFonts w:ascii="Lato" w:hAnsi="Lato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4E6EA0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:rsidR="004E6EA0" w:rsidRDefault="00D16940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 w:rsidR="000D3303">
              <w:rPr>
                <w:rFonts w:ascii="Lato" w:hAnsi="Lato"/>
                <w:b/>
                <w:sz w:val="28"/>
                <w:szCs w:val="28"/>
              </w:rPr>
              <w:t>History</w:t>
            </w:r>
          </w:p>
        </w:tc>
      </w:tr>
      <w:tr w:rsidR="004E6EA0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:rsidR="004E6EA0" w:rsidRDefault="00D16940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Topic or component:</w:t>
            </w:r>
            <w:r w:rsidR="000D3303">
              <w:rPr>
                <w:rFonts w:ascii="Lato" w:hAnsi="Lato"/>
                <w:b/>
                <w:sz w:val="28"/>
                <w:szCs w:val="28"/>
              </w:rPr>
              <w:t xml:space="preserve"> Conflict &amp; Tension 1919-1939</w:t>
            </w:r>
          </w:p>
        </w:tc>
      </w:tr>
      <w:tr w:rsidR="004E6EA0">
        <w:trPr>
          <w:trHeight w:val="586"/>
        </w:trPr>
        <w:tc>
          <w:tcPr>
            <w:tcW w:w="10206" w:type="dxa"/>
            <w:vAlign w:val="center"/>
          </w:tcPr>
          <w:p w:rsidR="000D3303" w:rsidRP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/>
                <w:bCs/>
              </w:rPr>
            </w:pPr>
            <w:hyperlink r:id="rId10" w:history="1">
              <w:r w:rsidRPr="000D3303">
                <w:rPr>
                  <w:rStyle w:val="Hyperlink"/>
                  <w:rFonts w:ascii="Lato" w:eastAsia="Calibri" w:hAnsi="Lato" w:cs="Times New Roman"/>
                  <w:b/>
                  <w:bCs/>
                </w:rPr>
                <w:t>https://filestore.aqa.org.uk/resources/history/AQA-81451BB-SOW.DOCX</w:t>
              </w:r>
            </w:hyperlink>
          </w:p>
          <w:p w:rsidR="004E6EA0" w:rsidRPr="000D3303" w:rsidRDefault="000D3303" w:rsidP="000D330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Lato" w:eastAsia="Calibri" w:hAnsi="Lato" w:cs="Times New Roman"/>
                <w:b/>
                <w:bCs/>
                <w:sz w:val="32"/>
                <w:szCs w:val="32"/>
              </w:rPr>
            </w:pPr>
            <w:r w:rsidRPr="000D3303">
              <w:rPr>
                <w:rFonts w:ascii="Lato" w:eastAsia="Calibri" w:hAnsi="Lato" w:cs="Times New Roman"/>
                <w:b/>
                <w:bCs/>
                <w:sz w:val="32"/>
                <w:szCs w:val="32"/>
              </w:rPr>
              <w:t>Peacemakers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The Armistice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The Versailles Settlement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Aims of the Big Three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Impact of the Treaty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</w:p>
          <w:p w:rsidR="000D3303" w:rsidRDefault="000D3303" w:rsidP="000D3303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</w:pPr>
            <w:r w:rsidRPr="000D3303"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  <w:t>League of Nations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 w:rsidRPr="000D3303">
              <w:rPr>
                <w:rFonts w:ascii="Lato" w:eastAsia="Calibri" w:hAnsi="Lato" w:cs="Times New Roman"/>
                <w:bCs/>
              </w:rPr>
              <w:t>Formation and organisation of the League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Work of the League’s agencies</w:t>
            </w:r>
            <w:r w:rsidR="00071FE7">
              <w:rPr>
                <w:rFonts w:ascii="Lato" w:eastAsia="Calibri" w:hAnsi="Lato" w:cs="Times New Roman"/>
                <w:bCs/>
              </w:rPr>
              <w:t>/ commissions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Successes and failures of conflicts of the 1920s</w:t>
            </w:r>
          </w:p>
          <w:p w:rsid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Diplomacy outside the League</w:t>
            </w:r>
          </w:p>
          <w:p w:rsidR="000D3303" w:rsidRDefault="00071FE7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The effects of the Great Depression</w:t>
            </w:r>
          </w:p>
          <w:p w:rsidR="00071FE7" w:rsidRDefault="00071FE7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Manchurian and Abyssinian Crises and their consequences</w:t>
            </w:r>
          </w:p>
          <w:p w:rsidR="00071FE7" w:rsidRDefault="00071FE7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Failure of the League to avert war in 1939.</w:t>
            </w:r>
          </w:p>
          <w:p w:rsidR="00071FE7" w:rsidRDefault="00071FE7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</w:p>
          <w:p w:rsidR="00071FE7" w:rsidRDefault="00071FE7" w:rsidP="00071FE7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</w:pPr>
            <w:r w:rsidRPr="00071FE7">
              <w:rPr>
                <w:rFonts w:ascii="Lato" w:eastAsia="Calibri" w:hAnsi="Lato" w:cs="Times New Roman"/>
                <w:b/>
                <w:bCs/>
                <w:sz w:val="28"/>
                <w:szCs w:val="28"/>
              </w:rPr>
              <w:t>Causes of the Second World War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Hitler’s Foreign Policy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Reoccupation of the Rhineland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Which countries supported Hitler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Austrian Anschluss 1938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Sudeten Crisis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Munich Conference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Policy of Appeasement</w:t>
            </w:r>
          </w:p>
          <w:p w:rsidR="00071FE7" w:rsidRDefault="00071FE7" w:rsidP="00071FE7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Nazi-Soviet Pact</w:t>
            </w:r>
          </w:p>
          <w:p w:rsidR="000D3303" w:rsidRPr="00D07764" w:rsidRDefault="00071FE7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Invasion of Poland and start of World War II</w:t>
            </w:r>
          </w:p>
          <w:p w:rsidR="000D3303" w:rsidRP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</w:rPr>
            </w:pPr>
          </w:p>
          <w:p w:rsidR="000D3303" w:rsidRPr="000D3303" w:rsidRDefault="000D3303" w:rsidP="000D3303">
            <w:pPr>
              <w:spacing w:line="276" w:lineRule="auto"/>
              <w:rPr>
                <w:rFonts w:ascii="Lato" w:eastAsia="Calibri" w:hAnsi="Lato" w:cs="Times New Roman"/>
                <w:bCs/>
                <w:szCs w:val="32"/>
              </w:rPr>
            </w:pPr>
          </w:p>
        </w:tc>
      </w:tr>
    </w:tbl>
    <w:p w:rsidR="004E6EA0" w:rsidRDefault="004E6EA0">
      <w:pPr>
        <w:tabs>
          <w:tab w:val="left" w:pos="1116"/>
        </w:tabs>
        <w:rPr>
          <w:rFonts w:ascii="Lato" w:hAnsi="Lato"/>
          <w:u w:val="single"/>
        </w:rPr>
      </w:pPr>
    </w:p>
    <w:p w:rsidR="004E6EA0" w:rsidRDefault="004E6EA0">
      <w:pPr>
        <w:tabs>
          <w:tab w:val="left" w:pos="1116"/>
        </w:tabs>
        <w:rPr>
          <w:rFonts w:ascii="Lato" w:hAnsi="Lato"/>
        </w:rPr>
      </w:pPr>
    </w:p>
    <w:p w:rsidR="004E6EA0" w:rsidRDefault="004E6EA0">
      <w:pPr>
        <w:tabs>
          <w:tab w:val="left" w:pos="1116"/>
        </w:tabs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4E6EA0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:rsidR="004E6EA0" w:rsidRDefault="00D16940">
            <w:pPr>
              <w:tabs>
                <w:tab w:val="left" w:pos="1116"/>
              </w:tabs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Strategies and Resources for Revision:</w:t>
            </w:r>
          </w:p>
        </w:tc>
      </w:tr>
      <w:tr w:rsidR="004E6EA0">
        <w:trPr>
          <w:trHeight w:val="586"/>
        </w:trPr>
        <w:tc>
          <w:tcPr>
            <w:tcW w:w="10206" w:type="dxa"/>
            <w:vAlign w:val="center"/>
          </w:tcPr>
          <w:p w:rsidR="004E6EA0" w:rsidRDefault="00D16940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D07764">
              <w:rPr>
                <w:rFonts w:ascii="Lato" w:eastAsia="Calibri" w:hAnsi="Lato" w:cs="Times New Roman"/>
                <w:bCs/>
                <w:szCs w:val="32"/>
              </w:rPr>
              <w:t>Use your booklets especially the Knowledge Organisers at the front of each booklet.</w:t>
            </w:r>
          </w:p>
          <w:p w:rsidR="00D07764" w:rsidRDefault="00D07764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Make mind maps / flash cards</w:t>
            </w:r>
          </w:p>
          <w:p w:rsidR="00D07764" w:rsidRDefault="00D07764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Use weblinks:</w:t>
            </w:r>
          </w:p>
          <w:p w:rsidR="00D07764" w:rsidRDefault="00D07764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Cs/>
                <w:szCs w:val="32"/>
              </w:rPr>
            </w:pPr>
            <w:hyperlink r:id="rId11" w:history="1">
              <w:r w:rsidRPr="00D07764">
                <w:rPr>
                  <w:rStyle w:val="Hyperlink"/>
                  <w:rFonts w:ascii="Lato" w:eastAsia="Calibri" w:hAnsi="Lato" w:cs="Times New Roman"/>
                  <w:bCs/>
                  <w:szCs w:val="32"/>
                </w:rPr>
                <w:t>https://www.johndclare.net/</w:t>
              </w:r>
            </w:hyperlink>
          </w:p>
          <w:p w:rsidR="00D07764" w:rsidRDefault="00D07764">
            <w:pPr>
              <w:pStyle w:val="ListParagraph"/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</w:p>
        </w:tc>
        <w:bookmarkStart w:id="0" w:name="_GoBack"/>
        <w:bookmarkEnd w:id="0"/>
      </w:tr>
    </w:tbl>
    <w:p w:rsidR="004E6EA0" w:rsidRDefault="004E6EA0">
      <w:pPr>
        <w:tabs>
          <w:tab w:val="left" w:pos="1116"/>
        </w:tabs>
        <w:rPr>
          <w:rFonts w:ascii="Lato" w:hAnsi="Lato"/>
        </w:rPr>
      </w:pPr>
    </w:p>
    <w:p w:rsidR="004E6EA0" w:rsidRDefault="004E6EA0">
      <w:pPr>
        <w:rPr>
          <w:rFonts w:ascii="Lato" w:hAnsi="Lato"/>
        </w:rPr>
      </w:pPr>
    </w:p>
    <w:sectPr w:rsidR="004E6EA0">
      <w:headerReference w:type="first" r:id="rId12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940" w:rsidRDefault="00D16940">
      <w:r>
        <w:separator/>
      </w:r>
    </w:p>
  </w:endnote>
  <w:endnote w:type="continuationSeparator" w:id="0">
    <w:p w:rsidR="00D16940" w:rsidRDefault="00D16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940" w:rsidRDefault="00D16940">
      <w:r>
        <w:separator/>
      </w:r>
    </w:p>
  </w:footnote>
  <w:footnote w:type="continuationSeparator" w:id="0">
    <w:p w:rsidR="00D16940" w:rsidRDefault="00D16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EA0" w:rsidRDefault="00D16940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67004CE4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86787"/>
    <w:multiLevelType w:val="hybridMultilevel"/>
    <w:tmpl w:val="9782FEF6"/>
    <w:lvl w:ilvl="0" w:tplc="C186BCD4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2104FB"/>
    <w:multiLevelType w:val="hybridMultilevel"/>
    <w:tmpl w:val="51F23604"/>
    <w:lvl w:ilvl="0" w:tplc="969459D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EA0"/>
    <w:rsid w:val="00071FE7"/>
    <w:rsid w:val="000D3303"/>
    <w:rsid w:val="004E6EA0"/>
    <w:rsid w:val="00D07764"/>
    <w:rsid w:val="00D1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85B94B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33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3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johndclare.net/" TargetMode="External"/><Relationship Id="rId5" Type="http://schemas.openxmlformats.org/officeDocument/2006/relationships/styles" Target="styles.xml"/><Relationship Id="rId10" Type="http://schemas.openxmlformats.org/officeDocument/2006/relationships/hyperlink" Target="https://filestore.aqa.org.uk/resources/history/AQA-81451BB-SOW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Props1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Mr J Bassett</cp:lastModifiedBy>
  <cp:revision>2</cp:revision>
  <dcterms:created xsi:type="dcterms:W3CDTF">2025-04-01T10:09:00Z</dcterms:created>
  <dcterms:modified xsi:type="dcterms:W3CDTF">2025-04-01T10:09:00Z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